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246.0009765625"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19050" distT="19050" distL="19050" distR="19050">
            <wp:extent cx="666750" cy="619125"/>
            <wp:effectExtent b="0" l="0" r="0" t="0"/>
            <wp:docPr id="3"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666750" cy="61912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55.5102539062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MINISTÉRIO DA EDUCAÇÃO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49.71313476562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UNIVERSIDADE FEDERAL DO PIAUÍ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66.65405273437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CAMPUS SENADOR HELVÍDIO NUNES DE BARROS – CSHNB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17.999877929687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CURSO DE BACHARELADO EM NUTRIÇÃO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9.862060546875" w:line="240" w:lineRule="auto"/>
        <w:ind w:left="0" w:right="3509.84130859375"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PLANO DE ENSINO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88427734375" w:line="229.88847255706787" w:lineRule="auto"/>
        <w:ind w:left="695.0399780273438" w:right="270.184326171875" w:hanging="1.920013427734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DISCIPLINA: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Administração dos Serviços de Saúde.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CÓDIGO: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CHN0575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BLOCO DE OFERTA: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4º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CRÉDITOS: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3.1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CARGA HORÁRIA: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60 h/a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PERÍODO LETIVO: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2021.1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830078125" w:line="229.88847255706787" w:lineRule="auto"/>
        <w:ind w:left="4054.0798950195312" w:right="942.3223876953125" w:hanging="3360.9600830078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DOCENTES RESPONSÁVEIS: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Prof</w:t>
      </w:r>
      <w:r w:rsidDel="00000000" w:rsidR="00000000" w:rsidRPr="00000000">
        <w:rPr>
          <w:rFonts w:ascii="Times New Roman" w:cs="Times New Roman" w:eastAsia="Times New Roman" w:hAnsi="Times New Roman"/>
          <w:b w:val="0"/>
          <w:i w:val="0"/>
          <w:smallCaps w:val="0"/>
          <w:strike w:val="0"/>
          <w:color w:val="000000"/>
          <w:sz w:val="24.000000953674316"/>
          <w:szCs w:val="24.000000953674316"/>
          <w:u w:val="none"/>
          <w:shd w:fill="auto" w:val="clear"/>
          <w:vertAlign w:val="superscript"/>
          <w:rtl w:val="0"/>
        </w:rPr>
        <w:t xml:space="preserve">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Dr</w:t>
      </w:r>
      <w:r w:rsidDel="00000000" w:rsidR="00000000" w:rsidRPr="00000000">
        <w:rPr>
          <w:rFonts w:ascii="Times New Roman" w:cs="Times New Roman" w:eastAsia="Times New Roman" w:hAnsi="Times New Roman"/>
          <w:b w:val="0"/>
          <w:i w:val="0"/>
          <w:smallCaps w:val="0"/>
          <w:strike w:val="0"/>
          <w:color w:val="000000"/>
          <w:sz w:val="24.000000953674316"/>
          <w:szCs w:val="24.000000953674316"/>
          <w:u w:val="none"/>
          <w:shd w:fill="auto" w:val="clear"/>
          <w:vertAlign w:val="superscript"/>
          <w:rtl w:val="0"/>
        </w:rPr>
        <w:t xml:space="preserve">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Andrea Gomes da S. Santana (Teoria) Profa. Dr</w:t>
      </w:r>
      <w:r w:rsidDel="00000000" w:rsidR="00000000" w:rsidRPr="00000000">
        <w:rPr>
          <w:rFonts w:ascii="Times New Roman" w:cs="Times New Roman" w:eastAsia="Times New Roman" w:hAnsi="Times New Roman"/>
          <w:b w:val="0"/>
          <w:i w:val="0"/>
          <w:smallCaps w:val="0"/>
          <w:strike w:val="0"/>
          <w:color w:val="000000"/>
          <w:sz w:val="24.000000953674316"/>
          <w:szCs w:val="24.000000953674316"/>
          <w:u w:val="none"/>
          <w:shd w:fill="auto" w:val="clear"/>
          <w:vertAlign w:val="superscript"/>
          <w:rtl w:val="0"/>
        </w:rPr>
        <w:t xml:space="preserve">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Regina Márcia Soares Cavalcante (Prática)</w:t>
      </w:r>
    </w:p>
    <w:tbl>
      <w:tblPr>
        <w:tblStyle w:val="Table1"/>
        <w:tblW w:w="9640.001220703125" w:type="dxa"/>
        <w:jc w:val="left"/>
        <w:tblInd w:w="646.000022888183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001220703125"/>
        <w:tblGridChange w:id="0">
          <w:tblGrid>
            <w:gridCol w:w="9640.001220703125"/>
          </w:tblGrid>
        </w:tblGridChange>
      </w:tblGrid>
      <w:tr>
        <w:trPr>
          <w:cantSplit w:val="0"/>
          <w:trHeight w:val="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7999725341797" w:right="0" w:firstLine="0"/>
              <w:jc w:val="left"/>
              <w:rPr>
                <w:rFonts w:ascii="Times New Roman" w:cs="Times New Roman" w:eastAsia="Times New Roman" w:hAnsi="Times New Roman"/>
                <w:b w:val="1"/>
                <w:i w:val="0"/>
                <w:smallCaps w:val="0"/>
                <w:strike w:val="0"/>
                <w:color w:val="000000"/>
                <w:sz w:val="24"/>
                <w:szCs w:val="24"/>
                <w:u w:val="none"/>
                <w:shd w:fill="d9d9d9"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d9d9d9" w:val="clear"/>
                <w:vertAlign w:val="baseline"/>
                <w:rtl w:val="0"/>
              </w:rPr>
              <w:t xml:space="preserve">I – EMENTA</w:t>
            </w:r>
          </w:p>
        </w:tc>
      </w:tr>
      <w:tr>
        <w:trPr>
          <w:cantSplit w:val="0"/>
          <w:trHeight w:val="11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81587982178" w:lineRule="auto"/>
              <w:ind w:left="152.1599578857422" w:right="69.72412109375" w:hanging="0.96000671386718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Teorias de administração geral. Abordagem das escolas de administração. Princípios e funções administrativas. Políticas de saúde: evolução histórica. Sistema Único de Saúde – SUS. Modelo assistencial do SUS e da Saúde da Família. Planejamento em saúde. Administração hospitalar: classificação, principais serviços. Arquitetura hospitalar.</w:t>
            </w:r>
          </w:p>
        </w:tc>
      </w:tr>
    </w:tbl>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640.001220703125" w:type="dxa"/>
        <w:jc w:val="left"/>
        <w:tblInd w:w="646.000022888183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001220703125"/>
        <w:tblGridChange w:id="0">
          <w:tblGrid>
            <w:gridCol w:w="9640.001220703125"/>
          </w:tblGrid>
        </w:tblGridChange>
      </w:tblGrid>
      <w:tr>
        <w:trPr>
          <w:cantSplit w:val="0"/>
          <w:trHeight w:val="3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7999725341797" w:right="0" w:firstLine="0"/>
              <w:jc w:val="left"/>
              <w:rPr>
                <w:rFonts w:ascii="Times New Roman" w:cs="Times New Roman" w:eastAsia="Times New Roman" w:hAnsi="Times New Roman"/>
                <w:b w:val="1"/>
                <w:i w:val="0"/>
                <w:smallCaps w:val="0"/>
                <w:strike w:val="0"/>
                <w:color w:val="000000"/>
                <w:sz w:val="24"/>
                <w:szCs w:val="24"/>
                <w:u w:val="none"/>
                <w:shd w:fill="d9d9d9"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d9d9d9" w:val="clear"/>
                <w:vertAlign w:val="baseline"/>
                <w:rtl w:val="0"/>
              </w:rPr>
              <w:t xml:space="preserve">II – OBJETIVO GERAL</w:t>
            </w:r>
          </w:p>
        </w:tc>
      </w:tr>
      <w:tr>
        <w:trPr>
          <w:cantSplit w:val="0"/>
          <w:trHeight w:val="11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31520080566" w:lineRule="auto"/>
              <w:ind w:left="152.63992309570312" w:right="172.523193359375" w:hanging="4.56001281738281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Possibilitar ao aluno condições de compreender, o processo administrativo, organizacional do serviço de saúde e as interferências das políticas de saúde no processo de planejamento das ações e serviços de saúde, além de oportunizar a reflexão da gestão em saúde sobre os diferentes enfoques administrativos.</w:t>
            </w:r>
          </w:p>
        </w:tc>
      </w:tr>
    </w:tbl>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640.001220703125" w:type="dxa"/>
        <w:jc w:val="left"/>
        <w:tblInd w:w="646.000022888183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001220703125"/>
        <w:tblGridChange w:id="0">
          <w:tblGrid>
            <w:gridCol w:w="9640.001220703125"/>
          </w:tblGrid>
        </w:tblGridChange>
      </w:tblGrid>
      <w:tr>
        <w:trPr>
          <w:cantSplit w:val="0"/>
          <w:trHeight w:val="2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7999725341797" w:right="0" w:firstLine="0"/>
              <w:jc w:val="left"/>
              <w:rPr>
                <w:rFonts w:ascii="Times New Roman" w:cs="Times New Roman" w:eastAsia="Times New Roman" w:hAnsi="Times New Roman"/>
                <w:b w:val="1"/>
                <w:i w:val="0"/>
                <w:smallCaps w:val="0"/>
                <w:strike w:val="0"/>
                <w:color w:val="000000"/>
                <w:sz w:val="24"/>
                <w:szCs w:val="24"/>
                <w:u w:val="none"/>
                <w:shd w:fill="d9d9d9"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d9d9d9" w:val="clear"/>
                <w:vertAlign w:val="baseline"/>
                <w:rtl w:val="0"/>
              </w:rPr>
              <w:t xml:space="preserve">III – OBJETIVOS ESPECÍFICOS</w:t>
            </w:r>
          </w:p>
        </w:tc>
      </w:tr>
      <w:tr>
        <w:trPr>
          <w:cantSplit w:val="0"/>
          <w:trHeight w:val="33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97323608398" w:lineRule="auto"/>
              <w:ind w:left="879.119873046875" w:right="79.90478515625" w:hanging="354.239959716796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Estudar as Teorias Administrativas e a Aplicabilidade na Administração dos Serviços de Saúde Pública.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61767578125" w:line="240" w:lineRule="auto"/>
              <w:ind w:left="524.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Compreender as Funções Administrativas em um Serviço de Saúde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4.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Analisar a Qualidade de um Serviço de Saúde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4.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Compreender a finalidade da Gestão de Pessoas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76805114746094" w:lineRule="auto"/>
              <w:ind w:left="524.8799133300781" w:right="855.78735351562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Estimular a responsabilidade, liderança, cooperação e respeito à ética profissional.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Compreender o SUS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822509765625" w:line="229.8874568939209" w:lineRule="auto"/>
              <w:ind w:left="879.119873046875" w:right="75.80322265625" w:hanging="354.239959716796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Conhecer as Principais Políticas Públicas de Saúde e seus Respectivos Programas de Saúde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648193359375" w:line="230.76703548431396" w:lineRule="auto"/>
              <w:ind w:left="524.8799133300781" w:right="892.827758789062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17365d"/>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Analisar a Gestão e o Gerenciamento no SUS e nos Serviços Privados de Saúde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Estimular a responsabilidade, liderança, cooperação e respeito à ética profissional.</w:t>
            </w:r>
          </w:p>
        </w:tc>
      </w:tr>
    </w:tbl>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
        <w:tblW w:w="9640.001220703125" w:type="dxa"/>
        <w:jc w:val="left"/>
        <w:tblInd w:w="646.000022888183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001220703125"/>
        <w:tblGridChange w:id="0">
          <w:tblGrid>
            <w:gridCol w:w="9640.001220703125"/>
          </w:tblGrid>
        </w:tblGridChange>
      </w:tblGrid>
      <w:tr>
        <w:trPr>
          <w:cantSplit w:val="0"/>
          <w:trHeight w:val="3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7999725341797"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 – CONTEÚDO PROGRAMÁTICO</w:t>
            </w:r>
          </w:p>
        </w:tc>
      </w:tr>
      <w:tr>
        <w:trPr>
          <w:cantSplit w:val="0"/>
          <w:trHeight w:val="332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850.9199523925781" w:right="87.5854492187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Área Temática I: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Abordagem Clássica e Neoclássica da Administração e Novas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Abordagens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6146240234375" w:line="240" w:lineRule="auto"/>
              <w:ind w:left="1229.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Escola Científica: Taylorismo, Fordismo e Fayolismo.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9.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Teoria da administração humanística, contingencial e burocrática.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9.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Abordagem Neoclássica da Administração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95.919799804687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Conceitos e fundamentos de Administração moderna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9.87991333007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Novas abordagens: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9.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17365d"/>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Comportamento e Clima organizacional nos serviços de saúde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9.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17365d"/>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Qualidade em serviços de Saúde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8731689453125" w:line="240" w:lineRule="auto"/>
              <w:ind w:left="145.919952392578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Área temática II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Historicidade e evolução das Políticas de saúde e SUS</w:t>
            </w:r>
          </w:p>
        </w:tc>
      </w:tr>
    </w:tbl>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
        <w:tblW w:w="9640.001220703125" w:type="dxa"/>
        <w:jc w:val="left"/>
        <w:tblInd w:w="646.000022888183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001220703125"/>
        <w:tblGridChange w:id="0">
          <w:tblGrid>
            <w:gridCol w:w="9640.001220703125"/>
          </w:tblGrid>
        </w:tblGridChange>
      </w:tblGrid>
      <w:tr>
        <w:trPr>
          <w:cantSplit w:val="0"/>
          <w:trHeight w:val="50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9.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Trajetória e determinação das políticas Públicas de saúde no Brasil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9.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Reforma Sanitária e Instâncias Colegiadas de Saúde.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9.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Princípios Organizativos e Doutrinários do SUS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9.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Leis orgânicas da Saúde (LOS e LOAS)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9.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Normas Operacionais e Assistências de Saúde (NOB/NOAS)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9.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Politicas atuais de Saúde Pública.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9.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Redes de Atenção a Saúde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9.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Estratégia da Saúde da Família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9.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Programação, Planejamento, Financiamento e Avaliação no SUS.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9.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Sistemas de Informação a Saúde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87255859375" w:line="240" w:lineRule="auto"/>
              <w:ind w:left="145.919952392578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Área temática III :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Hospital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92724609375" w:line="240" w:lineRule="auto"/>
              <w:ind w:left="1229.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Conceitos e princípios básicos da administração hospitalar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9.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Organização e Estrutura hospitalar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9.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Acreditação hospitalar</w:t>
            </w:r>
          </w:p>
        </w:tc>
      </w:tr>
      <w:tr>
        <w:trPr>
          <w:cantSplit w:val="0"/>
          <w:trHeight w:val="3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6"/>
        <w:tblW w:w="9640.001220703125" w:type="dxa"/>
        <w:jc w:val="left"/>
        <w:tblInd w:w="646.000022888183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001220703125"/>
        <w:tblGridChange w:id="0">
          <w:tblGrid>
            <w:gridCol w:w="9640.001220703125"/>
          </w:tblGrid>
        </w:tblGridChange>
      </w:tblGrid>
      <w:tr>
        <w:trPr>
          <w:cantSplit w:val="0"/>
          <w:trHeight w:val="3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91995239257812" w:right="0" w:firstLine="0"/>
              <w:jc w:val="left"/>
              <w:rPr>
                <w:rFonts w:ascii="Times New Roman" w:cs="Times New Roman" w:eastAsia="Times New Roman" w:hAnsi="Times New Roman"/>
                <w:b w:val="1"/>
                <w:i w:val="0"/>
                <w:smallCaps w:val="0"/>
                <w:strike w:val="0"/>
                <w:color w:val="000000"/>
                <w:sz w:val="24"/>
                <w:szCs w:val="24"/>
                <w:u w:val="none"/>
                <w:shd w:fill="d9d9d9"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d9d9d9" w:val="clear"/>
                <w:vertAlign w:val="baseline"/>
                <w:rtl w:val="0"/>
              </w:rPr>
              <w:t xml:space="preserve">V – PROCEDIMENTOS DE ENSINO</w:t>
            </w:r>
          </w:p>
        </w:tc>
      </w:tr>
      <w:tr>
        <w:trPr>
          <w:cantSplit w:val="0"/>
          <w:trHeight w:val="29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4.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Aula expositiva participativa.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4.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Exercícios operatórios: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0343017578125" w:line="240" w:lineRule="auto"/>
              <w:ind w:left="1588.80004882812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Leitura de textos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9195556640625" w:line="240" w:lineRule="auto"/>
              <w:ind w:left="1585.919799804687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Atividades práticas, após a abordagem das áreas temáticas.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782470703125" w:line="240" w:lineRule="auto"/>
              <w:ind w:left="0" w:right="1096.92321777343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Analisar a organização e funcionamento de um serviço de saúde.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70.15991210937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Case de gestão em Saúde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70.15991210937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Dinâmicas de grupo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4.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Análise e discussão de trabalhos científicos,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4.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Debates e seminários sobre questões/temas propostos. .</w:t>
            </w:r>
          </w:p>
        </w:tc>
      </w:tr>
    </w:tbl>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7"/>
        <w:tblW w:w="9640.001220703125" w:type="dxa"/>
        <w:jc w:val="left"/>
        <w:tblInd w:w="646.000022888183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001220703125"/>
        <w:tblGridChange w:id="0">
          <w:tblGrid>
            <w:gridCol w:w="9640.001220703125"/>
          </w:tblGrid>
        </w:tblGridChange>
      </w:tblGrid>
      <w:tr>
        <w:trPr>
          <w:cantSplit w:val="0"/>
          <w:trHeight w:val="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91995239257812" w:right="0" w:firstLine="0"/>
              <w:jc w:val="left"/>
              <w:rPr>
                <w:rFonts w:ascii="Times New Roman" w:cs="Times New Roman" w:eastAsia="Times New Roman" w:hAnsi="Times New Roman"/>
                <w:b w:val="1"/>
                <w:i w:val="0"/>
                <w:smallCaps w:val="0"/>
                <w:strike w:val="0"/>
                <w:color w:val="000000"/>
                <w:sz w:val="24"/>
                <w:szCs w:val="24"/>
                <w:u w:val="none"/>
                <w:shd w:fill="d9d9d9"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d9d9d9" w:val="clear"/>
                <w:vertAlign w:val="baseline"/>
                <w:rtl w:val="0"/>
              </w:rPr>
              <w:t xml:space="preserve">VI – SISTEMÁTICA DE AVALIAÇÃO</w:t>
            </w:r>
          </w:p>
        </w:tc>
      </w:tr>
      <w:tr>
        <w:trPr>
          <w:cantSplit w:val="0"/>
          <w:trHeight w:val="574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76703548431396" w:lineRule="auto"/>
              <w:ind w:left="524.8799133300781" w:right="1459.819946289062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avaliação do ensino-aprendizagem será permanente e ocorrerá através de: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Avaliação escrita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82861328125" w:line="230.32775402069092" w:lineRule="auto"/>
              <w:ind w:left="524.8799133300781" w:right="87.69653320312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Apresentação de seminários (Itens avaliados: Clareza, Objetividade na apresentação, Atualização do tema, Articulação com a prática, Qualidade do material didático).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Participação em debates.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2353515625" w:line="240" w:lineRule="auto"/>
              <w:ind w:left="524.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Elaboração de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papers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4.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Realização de exercícios operatórios e outros.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24.87991333007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Elaboração e apresentação de relatórios, etc.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873.3599853515625" w:right="74.710693359375" w:hanging="348.480072021484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 aluno será submetido a três avaliações: duas equivalentes à teoria e uma equivalente as aulas práticas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6268310546875" w:line="230.76703548431396" w:lineRule="auto"/>
              <w:ind w:left="524.8799133300781" w:right="513.149414062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nota final corresponderá à média aritmética obtida a partir da fórmula expressa por: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Média aritmética: (N1) +(N2) + (N3)/ 3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81640625" w:line="229.88797187805176" w:lineRule="auto"/>
              <w:ind w:left="872.8799438476562" w:right="75.450439453125" w:hanging="348.000030517578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Será considerado aprovado por média o aluno que obtiver frequência igual ou superior a 75% (setenta e cinco por cento) da carga horária da disciplina e nota igual ou superior a 7,0 (sete).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98638916015625" w:line="229.88847255706787" w:lineRule="auto"/>
              <w:ind w:left="144.23995971679688" w:right="82.420654296875" w:firstLine="1.679992675781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avaliação da disciplina será sistemática e contínua para verificar a aprendizagem de cada unidade, mediante avaliações escritas, seminários, construção e apresentação de mapas mentais e elaboração de vídeos.</w:t>
            </w:r>
          </w:p>
        </w:tc>
      </w:tr>
    </w:tbl>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8"/>
        <w:tblW w:w="9640.001220703125" w:type="dxa"/>
        <w:jc w:val="left"/>
        <w:tblInd w:w="646.000022888183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001220703125"/>
        <w:tblGridChange w:id="0">
          <w:tblGrid>
            <w:gridCol w:w="9640.001220703125"/>
          </w:tblGrid>
        </w:tblGridChange>
      </w:tblGrid>
      <w:tr>
        <w:trPr>
          <w:cantSplit w:val="0"/>
          <w:trHeight w:val="9460.00061035156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145.43991088867188" w:right="77.701416015625" w:firstLine="11.76002502441406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•Definição de instrumentos avaliativos, durante todo o processo, que possam mensurar qualitativa e quantitativamente o desenvolvimento do aprendizado do estudante, segundo as normas previstas na Resolução nº 101/2021 -CEPEX.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318359375" w:line="240" w:lineRule="auto"/>
              <w:ind w:left="153.1199645996093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•ATENTAR: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Resolução CEPEX/UFPI nº 101 de 15 de julho de 2021)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8935546875" w:line="229.88847255706787" w:lineRule="auto"/>
              <w:ind w:left="151.91993713378906" w:right="78.08837890625" w:hanging="5.9999847412109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 8º Fica estabelecido, excepcionalmente, que o controle de frequência será realizado por meio da participação de discentes em atividades síncronas e/ ou assíncronas.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05859375" w:line="229.88847255706787" w:lineRule="auto"/>
              <w:ind w:left="151.91993713378906" w:right="83.006591796875" w:firstLine="10.319976806640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1º As atividades assíncronas não devem ultrapassar 40% (quarenta por cento) da carga horária do Componente Curricular;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318359375" w:line="229.88847255706787" w:lineRule="auto"/>
              <w:ind w:left="145.43991088867188" w:right="70.19287109375" w:firstLine="16.80000305175781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2º O registro de frequência em Componente Curricular ofertado, em caso de apenas ensino remoto, não atestará a presença física de discente na UFPI, e, sim, para efeito de cumprimento de carga horária;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05859375" w:line="396.48951530456543" w:lineRule="auto"/>
              <w:ind w:left="149.9999237060547" w:right="446.221923828125" w:firstLine="12.239990234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3º A frequência mínima exigida é de 75% (setenta e cinco por cento), assim compreendidas: I – atividade Síncrona – assiduidade e participação na atividade realizada em tempo real; II – atividade Assíncrona – realização e envio de atividades acadêmicas.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404296875" w:line="229.8876142501831" w:lineRule="auto"/>
              <w:ind w:left="151.91993713378906" w:right="78.90869140625" w:hanging="5.99998474121093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 9º A apuração do rendimento acadêmico será feita por meio do acompanhamento contínuo do desempenho do discente, sob forma de prova escrita, oral ou prática, trabalho de pesquisa, seminário, fórum ou outros instrumentos constantes no respectivo Plano do Componente Curricular.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089111328125" w:line="229.88874435424805" w:lineRule="auto"/>
              <w:ind w:left="143.5199737548828" w:right="70.4541015625" w:firstLine="2.39997863769531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 10. Para a integralização de Componente Curricular cursado por meio de atividades não presenciais será considerado tanto o tempo despendido para as atividades síncronas quanto o tempo dedicado às atividades assíncronas.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76904296875" w:line="229.88847255706787" w:lineRule="auto"/>
              <w:ind w:left="142.07992553710938" w:right="74.2041015625" w:firstLine="5.99998474121093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Parágrafo único. O direito à segunda chamada segue o previsto no Art. 108, da Resolução nº 177 – CEPEX/UFPI, de 05/11/2012, e o discente poderá proceder com tal solicitação mediante envio desta por e-mail à Coordenação do Curso e ao docente ao qual o Componente Curricular esteja cadastrado.</w:t>
            </w:r>
          </w:p>
        </w:tc>
      </w:tr>
    </w:tbl>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9"/>
        <w:tblW w:w="9640.001220703125" w:type="dxa"/>
        <w:jc w:val="left"/>
        <w:tblInd w:w="646.000022888183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001220703125"/>
        <w:tblGridChange w:id="0">
          <w:tblGrid>
            <w:gridCol w:w="9640.001220703125"/>
          </w:tblGrid>
        </w:tblGridChange>
      </w:tblGrid>
      <w:tr>
        <w:trPr>
          <w:cantSplit w:val="0"/>
          <w:trHeight w:val="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91995239257812" w:right="0" w:firstLine="0"/>
              <w:jc w:val="left"/>
              <w:rPr>
                <w:rFonts w:ascii="Times New Roman" w:cs="Times New Roman" w:eastAsia="Times New Roman" w:hAnsi="Times New Roman"/>
                <w:b w:val="1"/>
                <w:i w:val="0"/>
                <w:smallCaps w:val="0"/>
                <w:strike w:val="0"/>
                <w:color w:val="000000"/>
                <w:sz w:val="24"/>
                <w:szCs w:val="24"/>
                <w:u w:val="none"/>
                <w:shd w:fill="d9d9d9"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d9d9d9" w:val="clear"/>
                <w:vertAlign w:val="baseline"/>
                <w:rtl w:val="0"/>
              </w:rPr>
              <w:t xml:space="preserve">VII – BIBLIOGRAFIA</w:t>
            </w:r>
          </w:p>
        </w:tc>
      </w:tr>
    </w:tbl>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5.03993988037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Bibliografia Básica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8731689453125" w:line="229.88847255706787" w:lineRule="auto"/>
        <w:ind w:left="694.0798950195312" w:right="86.9091796875" w:hanging="0.2399444580078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FLETCHER, R. H.; FLETCHER, S. W.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Epidemiologia clínica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elementos essenciais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4. ed. Porto Alegre: Artmed, 2006. 288p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98333740234375" w:line="229.8895025253296" w:lineRule="auto"/>
        <w:ind w:left="701.5199279785156" w:right="97.6025390625" w:hanging="7.440032958984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PEREIRA, M. G.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Epidemiologia: teoria e prática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Rio de Janeiro: Guanabara Koogan, 2006. 596p.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983642578125" w:line="229.88847255706787" w:lineRule="auto"/>
        <w:ind w:left="698.8800048828125" w:right="97.7197265625" w:firstLine="6.2400054931640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SILVA JUNIOR, E.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Manual de controle higiênico-sanitário em serviços de alimentação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6. ed. Sao Paulo: Varela, 1995. 623p.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98455810546875" w:line="229.8874568939209" w:lineRule="auto"/>
        <w:ind w:left="692.1600341796875" w:right="74.071044921875" w:firstLine="5.03997802734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TAJRA, S. F.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Gestão estratégica na saúde: reflexões e práticas para uma administração voltada para a excelência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São Paulo: Iatria, 2006. 236p.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98699951171875" w:line="240" w:lineRule="auto"/>
        <w:ind w:left="695.039939880371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Bibliografia Complementar:</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8743896484375" w:line="229.88847255706787" w:lineRule="auto"/>
        <w:ind w:left="705.1199340820312" w:right="76.387939453125" w:hanging="11.0400390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BRASIL. Ministério da Saúde.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Guia de vigilância epidemiológica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6. ed. Brasília: Ministério da Saúde, 2007. 815p.</w:t>
      </w:r>
    </w:p>
    <w:tbl>
      <w:tblPr>
        <w:tblStyle w:val="Table10"/>
        <w:tblW w:w="9640.001220703125" w:type="dxa"/>
        <w:jc w:val="left"/>
        <w:tblInd w:w="646.000022888183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001220703125"/>
        <w:tblGridChange w:id="0">
          <w:tblGrid>
            <w:gridCol w:w="9640.001220703125"/>
          </w:tblGrid>
        </w:tblGridChange>
      </w:tblGrid>
      <w:tr>
        <w:trPr>
          <w:cantSplit w:val="0"/>
          <w:trHeight w:val="135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148.55995178222656" w:right="85.714111328125" w:hanging="0.48004150390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BRASIL. Ministério da Saúde.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Manual de vigilância epidemiológica de eventos adversos pós-vacinação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2. ed. Brasília: Ministério da Saúde, 2008. 183p.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98486328125" w:line="229.88847255706787" w:lineRule="auto"/>
              <w:ind w:left="148.55995178222656" w:right="74.73388671875" w:firstLine="0.4799652099609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JEKEL, J. F.; KATZ, D. L.; ELMORE, J. G.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Epidemiologia, bioestatistica e medicina preventiva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2. ed. Porto Alegre: Artmed, 2005. 432p.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98486328125" w:line="344.8327159881592" w:lineRule="auto"/>
              <w:ind w:left="146.39991760253906" w:right="82.10693359375" w:firstLine="1.67999267578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PASSONI, A. et al.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Gestão na saúde em São Caetano do Sul: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colaboradores, procedimentos técnicos e políticas públicas. São Paulo: Mídia Alternativa, 2007. 79p.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2734375" w:line="344.8327159881592" w:lineRule="auto"/>
              <w:ind w:left="148.0799102783203" w:right="92.07153320312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ROUQUAYROL, M. Z.; ALMEIDA FILHO, 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Epidemiologia &amp; saúde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6. ed. Rio de Janeiro: MEDSI, 2003. 708p.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76171875" w:line="240" w:lineRule="auto"/>
              <w:ind w:left="152.639923095703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CHIAVENATO, 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Introdução a Teoria Geral da Administração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Ed. Manole: 7 ed. 2011.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3.87939453125" w:line="229.88847255706787" w:lineRule="auto"/>
              <w:ind w:left="143.5199737548828" w:right="71.0400390625" w:firstLine="4.5599365234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BORBA V.R; LISBOA T.C.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Teoria Geral da administração hospitalar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estrutura, educação do processo de gestão hospitalar. Ed. Qualitymark, 2006.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00830078125" w:line="229.88847255706787" w:lineRule="auto"/>
              <w:ind w:left="152.87994384765625" w:right="93.71826171875" w:hanging="0.240020751953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CAMPOS R.O; FURTADO J.P.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Desafios da avaliação de programas e serviços em saúde.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r w:rsidDel="00000000" w:rsidR="00000000" w:rsidRPr="00000000">
              <w:rPr>
                <w:rFonts w:ascii="Times New Roman" w:cs="Times New Roman" w:eastAsia="Times New Roman" w:hAnsi="Times New Roman"/>
                <w:b w:val="0"/>
                <w:i w:val="0"/>
                <w:smallCaps w:val="0"/>
                <w:strike w:val="0"/>
                <w:color w:val="000000"/>
                <w:sz w:val="24.000000953674316"/>
                <w:szCs w:val="24.000000953674316"/>
                <w:u w:val="none"/>
                <w:shd w:fill="auto" w:val="clear"/>
                <w:vertAlign w:val="superscript"/>
                <w:rtl w:val="0"/>
              </w:rPr>
              <w:t xml:space="preserve">a</w:t>
            </w:r>
            <w:r w:rsidDel="00000000" w:rsidR="00000000" w:rsidRPr="00000000">
              <w:rPr>
                <w:rFonts w:ascii="Times New Roman" w:cs="Times New Roman" w:eastAsia="Times New Roman" w:hAnsi="Times New Roman"/>
                <w:b w:val="0"/>
                <w:i w:val="0"/>
                <w:smallCaps w:val="0"/>
                <w:strike w:val="0"/>
                <w:color w:val="000000"/>
                <w:sz w:val="14.40000057220459"/>
                <w:szCs w:val="14.40000057220459"/>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ed. São Paulo:UNICAMP, 2011.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01318359375" w:line="229.88797187805176" w:lineRule="auto"/>
              <w:ind w:left="156.47994995117188" w:right="74.783935546875" w:hanging="3.84002685546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CAMPOS G.W.S; Minayo M.C.S; Akerman M; Drumond Júnior M; Carvalho Y.M.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Tratado de Saúde Coletiva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1a ed. Fiocruz/Hucitec, 2006.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9854736328125" w:line="229.88797187805176" w:lineRule="auto"/>
              <w:ind w:left="149.0399169921875" w:right="91.94213867187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JESUS W.L.A; ASSIS M.M.A.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Desafios do planejamento na construção do SUS.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r w:rsidDel="00000000" w:rsidR="00000000" w:rsidRPr="00000000">
              <w:rPr>
                <w:rFonts w:ascii="Times New Roman" w:cs="Times New Roman" w:eastAsia="Times New Roman" w:hAnsi="Times New Roman"/>
                <w:b w:val="0"/>
                <w:i w:val="0"/>
                <w:smallCaps w:val="0"/>
                <w:strike w:val="0"/>
                <w:color w:val="000000"/>
                <w:sz w:val="24.000000953674316"/>
                <w:szCs w:val="24.000000953674316"/>
                <w:u w:val="none"/>
                <w:shd w:fill="auto" w:val="clear"/>
                <w:vertAlign w:val="superscript"/>
                <w:rtl w:val="0"/>
              </w:rPr>
              <w:t xml:space="preserve">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ed. Edufba. 2011.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0089111328125" w:line="229.88439559936523" w:lineRule="auto"/>
              <w:ind w:left="148.0799102783203" w:right="99.991455078125" w:firstLine="0.720062255859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LEMOS, V.M.F.; ROCHA, M.H.P. A gestão da organização hospitalar e suas complexidades. Disponível em: http://www.inovarse.org/sites/default/files/T11_0417_1492.pdf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011962890625" w:line="240" w:lineRule="auto"/>
              <w:ind w:left="148.079910278320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MAXIMINIANO A .C.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Introdução a Administração.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ed. São Paulo: Atlas, 2000</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9014892578125" w:line="229.88847255706787" w:lineRule="auto"/>
              <w:ind w:left="152.63992309570312" w:right="76.763916015625" w:hanging="4.5600128173828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PINHEIRO R; SILVA Jr A.L. Cidadania no cuidado: o universal e o comum na integralidade das ações de saúde. 1aed. Rio de janeiro: CEPESC/IMS/UERJ/ABRASCO, 2011.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97998046875" w:line="229.88847255706787" w:lineRule="auto"/>
              <w:ind w:left="152.87994384765625" w:right="77.647705078125" w:hanging="4.8000335693359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RIVERA F.J.U; Testa M; Mattus C</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Planejamento e Programação em saúde: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Um enfoque estratégico. São Paulo: Cortez, 1989.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98486328125" w:line="229.8874568939209" w:lineRule="auto"/>
              <w:ind w:left="155.7599639892578" w:right="78.851318359375" w:hanging="4.5600128173828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TAJRA, S. F.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Credeciamento e negociação na saúde: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um enfoque para operadoras de planos de saúde e prestadores de serviços médico-assistenciais. São Paulo: Iatria, 2003. 196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98699951171875" w:line="229.88847255706787" w:lineRule="auto"/>
              <w:ind w:left="143.5199737548828" w:right="77.108154296875" w:firstLine="7.6799774169921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TAJRA S.F.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Gestão estratégica na saúde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reflexões práticas para uma administração voltada para excelência. 2 ed. São Paulo: Iatria, 2006.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98455810546875" w:line="229.88847255706787" w:lineRule="auto"/>
              <w:ind w:left="146.15997314453125" w:right="82.24853515625" w:firstLine="1.9199371337890625"/>
              <w:jc w:val="both"/>
              <w:rPr>
                <w:rFonts w:ascii="Times New Roman" w:cs="Times New Roman" w:eastAsia="Times New Roman" w:hAnsi="Times New Roman"/>
                <w:b w:val="0"/>
                <w:i w:val="0"/>
                <w:smallCaps w:val="0"/>
                <w:strike w:val="0"/>
                <w:color w:val="0000ff"/>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PORTELA, MC. Avaliação da qualidade em saúde. In: ROZENFELD, S., org. Fundamentos da Vigilância Sanitária [online]. Rio de Janeiro: Editora FIOCRUZ, 2000, pp. 259-269. Disponível em: </w:t>
            </w:r>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http://books.scielo.org/id/d63fk/pdf/rozenfeld-9788575413258-15.pdf</w:t>
            </w:r>
          </w:p>
        </w:tc>
      </w:tr>
    </w:tbl>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5.119972229003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SUBMISSÃO AO COLEGIADO DO CURSO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660924911499" w:lineRule="auto"/>
        <w:ind w:left="2167.5006103515625" w:right="849.1094970703125" w:hanging="1473.4207153320312"/>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pgSz w:h="16840" w:w="11920" w:orient="portrait"/>
          <w:pgMar w:bottom="327.022705078125" w:top="148.00048828125" w:left="443.9999771118164" w:right="1289.998779296875" w:header="0" w:footer="720"/>
          <w:pgNumType w:start="1"/>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Data de envio: 20/07/2021 Data de aprovação: 21/07/2021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19050" distT="19050" distL="19050" distR="19050">
            <wp:extent cx="1057275" cy="419100"/>
            <wp:effectExtent b="0" l="0" r="0" t="0"/>
            <wp:docPr id="5"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1057275" cy="41910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19050" distT="19050" distL="19050" distR="19050">
            <wp:extent cx="2343150" cy="942975"/>
            <wp:effectExtent b="0" l="0" r="0" t="0"/>
            <wp:docPr id="4"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2343150" cy="942975"/>
                    </a:xfrm>
                    <a:prstGeom prst="rect"/>
                    <a:ln/>
                  </pic:spPr>
                </pic:pic>
              </a:graphicData>
            </a:graphic>
          </wp:inline>
        </w:drawing>
      </w: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0" w:right="677.894592285156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_______________________________ Prof</w:t>
      </w:r>
      <w:r w:rsidDel="00000000" w:rsidR="00000000" w:rsidRPr="00000000">
        <w:rPr>
          <w:rFonts w:ascii="Times New Roman" w:cs="Times New Roman" w:eastAsia="Times New Roman" w:hAnsi="Times New Roman"/>
          <w:b w:val="0"/>
          <w:i w:val="0"/>
          <w:smallCaps w:val="0"/>
          <w:strike w:val="0"/>
          <w:color w:val="000000"/>
          <w:sz w:val="24.000000953674316"/>
          <w:szCs w:val="24.000000953674316"/>
          <w:u w:val="none"/>
          <w:shd w:fill="auto" w:val="clear"/>
          <w:vertAlign w:val="superscript"/>
          <w:rtl w:val="0"/>
        </w:rPr>
        <w:t xml:space="preserve">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Dr</w:t>
      </w:r>
      <w:r w:rsidDel="00000000" w:rsidR="00000000" w:rsidRPr="00000000">
        <w:rPr>
          <w:rFonts w:ascii="Times New Roman" w:cs="Times New Roman" w:eastAsia="Times New Roman" w:hAnsi="Times New Roman"/>
          <w:b w:val="0"/>
          <w:i w:val="0"/>
          <w:smallCaps w:val="0"/>
          <w:strike w:val="0"/>
          <w:color w:val="000000"/>
          <w:sz w:val="24.000000953674316"/>
          <w:szCs w:val="24.000000953674316"/>
          <w:u w:val="none"/>
          <w:shd w:fill="auto" w:val="clear"/>
          <w:vertAlign w:val="superscript"/>
          <w:rtl w:val="0"/>
        </w:rPr>
        <w:t xml:space="preserve">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Andrea Gomes da S. Santana Responsável </w:t>
      </w:r>
      <w:r w:rsidDel="00000000" w:rsidR="00000000" w:rsidRPr="00000000">
        <w:drawing>
          <wp:anchor allowOverlap="1" behindDoc="0" distB="19050" distT="19050" distL="19050" distR="19050" hidden="0" layoutInCell="1" locked="0" relativeHeight="0" simplePos="0">
            <wp:simplePos x="0" y="0"/>
            <wp:positionH relativeFrom="column">
              <wp:posOffset>-418032</wp:posOffset>
            </wp:positionH>
            <wp:positionV relativeFrom="paragraph">
              <wp:posOffset>484436</wp:posOffset>
            </wp:positionV>
            <wp:extent cx="2171700" cy="523875"/>
            <wp:effectExtent b="0" l="0" r="0" t="0"/>
            <wp:wrapSquare wrapText="bothSides" distB="19050" distT="19050" distL="19050" distR="19050"/>
            <wp:docPr id="2"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2171700" cy="523875"/>
                    </a:xfrm>
                    <a:prstGeom prst="rect"/>
                    <a:ln/>
                  </pic:spPr>
                </pic:pic>
              </a:graphicData>
            </a:graphic>
          </wp:anchor>
        </w:drawing>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7.96142578125" w:line="229.88847255706787" w:lineRule="auto"/>
        <w:ind w:left="0" w:right="227.132568359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___________________________________ Prof</w:t>
      </w:r>
      <w:r w:rsidDel="00000000" w:rsidR="00000000" w:rsidRPr="00000000">
        <w:rPr>
          <w:rFonts w:ascii="Times New Roman" w:cs="Times New Roman" w:eastAsia="Times New Roman" w:hAnsi="Times New Roman"/>
          <w:b w:val="0"/>
          <w:i w:val="0"/>
          <w:smallCaps w:val="0"/>
          <w:strike w:val="0"/>
          <w:color w:val="000000"/>
          <w:sz w:val="24.000000953674316"/>
          <w:szCs w:val="24.000000953674316"/>
          <w:u w:val="none"/>
          <w:shd w:fill="auto" w:val="clear"/>
          <w:vertAlign w:val="superscript"/>
          <w:rtl w:val="0"/>
        </w:rPr>
        <w:t xml:space="preserve">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Dr</w:t>
      </w:r>
      <w:r w:rsidDel="00000000" w:rsidR="00000000" w:rsidRPr="00000000">
        <w:rPr>
          <w:rFonts w:ascii="Times New Roman" w:cs="Times New Roman" w:eastAsia="Times New Roman" w:hAnsi="Times New Roman"/>
          <w:b w:val="0"/>
          <w:i w:val="0"/>
          <w:smallCaps w:val="0"/>
          <w:strike w:val="0"/>
          <w:color w:val="000000"/>
          <w:sz w:val="24.000000953674316"/>
          <w:szCs w:val="24.000000953674316"/>
          <w:u w:val="none"/>
          <w:shd w:fill="auto" w:val="clear"/>
          <w:vertAlign w:val="superscript"/>
          <w:rtl w:val="0"/>
        </w:rPr>
        <w:t xml:space="preserve">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Regina Márcia Soares Cavalcante Responsável </w:t>
      </w:r>
      <w:r w:rsidDel="00000000" w:rsidR="00000000" w:rsidRPr="00000000">
        <w:drawing>
          <wp:anchor allowOverlap="1" behindDoc="0" distB="19050" distT="19050" distL="19050" distR="19050" hidden="0" layoutInCell="1" locked="0" relativeHeight="0" simplePos="0">
            <wp:simplePos x="0" y="0"/>
            <wp:positionH relativeFrom="column">
              <wp:posOffset>134417</wp:posOffset>
            </wp:positionH>
            <wp:positionV relativeFrom="paragraph">
              <wp:posOffset>-321319</wp:posOffset>
            </wp:positionV>
            <wp:extent cx="2171700" cy="523875"/>
            <wp:effectExtent b="0" l="0" r="0" t="0"/>
            <wp:wrapSquare wrapText="bothSides" distB="19050" distT="19050" distL="19050" distR="19050"/>
            <wp:docPr id="1" name="image5.png"/>
            <a:graphic>
              <a:graphicData uri="http://schemas.openxmlformats.org/drawingml/2006/picture">
                <pic:pic>
                  <pic:nvPicPr>
                    <pic:cNvPr id="0" name="image5.png"/>
                    <pic:cNvPicPr preferRelativeResize="0"/>
                  </pic:nvPicPr>
                  <pic:blipFill>
                    <a:blip r:embed="rId10"/>
                    <a:srcRect b="0" l="0" r="0" t="0"/>
                    <a:stretch>
                      <a:fillRect/>
                    </a:stretch>
                  </pic:blipFill>
                  <pic:spPr>
                    <a:xfrm>
                      <a:off x="0" y="0"/>
                      <a:ext cx="2171700" cy="523875"/>
                    </a:xfrm>
                    <a:prstGeom prst="rect"/>
                    <a:ln/>
                  </pic:spPr>
                </pic:pic>
              </a:graphicData>
            </a:graphic>
          </wp:anchor>
        </w:drawing>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350" w:right="8.319702148437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__________________________________ Profª. Drª. Artemízia Francisca de Sousa Presidente do colegiado</w:t>
      </w:r>
    </w:p>
    <w:sectPr>
      <w:type w:val="continuous"/>
      <w:pgSz w:h="16840" w:w="11920" w:orient="portrait"/>
      <w:pgMar w:bottom="327.022705078125" w:top="148.00048828125" w:left="1132.3199462890625" w:right="1835.999755859375" w:header="0" w:footer="720"/>
      <w:cols w:equalWidth="0" w:num="2">
        <w:col w:space="0" w:w="4480"/>
        <w:col w:space="0" w:w="448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5.png"/><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4.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